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A2BF" w14:textId="5770A89E" w:rsidR="00FB6966" w:rsidRDefault="00FB6966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</w:pPr>
      <w:bookmarkStart w:id="0" w:name="_GoBack"/>
      <w:bookmarkEnd w:id="0"/>
      <w:r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  <w:t xml:space="preserve">Extended literature list – if you </w:t>
      </w:r>
      <w:proofErr w:type="spellStart"/>
      <w:r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  <w:t>with</w:t>
      </w:r>
      <w:proofErr w:type="spellEnd"/>
      <w:r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  <w:t xml:space="preserve"> to further your insights in supervision and AL</w:t>
      </w:r>
    </w:p>
    <w:p w14:paraId="62910540" w14:textId="7D89ADDB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u w:val="single"/>
          <w:lang w:val="en-GB" w:eastAsia="en-US"/>
        </w:rPr>
        <w:t>Literature on supervision</w:t>
      </w:r>
    </w:p>
    <w:p w14:paraId="258AB420" w14:textId="330D39ED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Lauchlan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>, E. (2019). Nature PhD survey 2019. London: Shift Learning. Available on: </w:t>
      </w:r>
      <w:hyperlink r:id="rId7" w:history="1">
        <w:r w:rsidRPr="007615CA">
          <w:rPr>
            <w:rFonts w:ascii="Calibri" w:eastAsiaTheme="minorHAnsi" w:hAnsi="Calibri" w:cs="Calibri"/>
            <w:color w:val="1360C6"/>
            <w:lang w:val="en-GB" w:eastAsia="en-US"/>
          </w:rPr>
          <w:t>https://figshare.com/s/74a5ea79d76ad66a8af8</w:t>
        </w:r>
      </w:hyperlink>
    </w:p>
    <w:p w14:paraId="36368C70" w14:textId="1D73FC9C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Laufer, M., &amp; </w:t>
      </w: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Gorup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>, M. (2019). The invisible Others: stories of international doctoral student dropout. Higher Education, 78(1), 165–181.</w:t>
      </w:r>
    </w:p>
    <w:p w14:paraId="22C80DBF" w14:textId="477581A0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Max Planck </w:t>
      </w: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PhDnet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 Survey Group. (2020). Survey report 2019. Available on: </w:t>
      </w:r>
      <w:hyperlink r:id="rId8" w:history="1">
        <w:r w:rsidRPr="007615CA">
          <w:rPr>
            <w:rFonts w:ascii="Calibri" w:eastAsiaTheme="minorHAnsi" w:hAnsi="Calibri" w:cs="Calibri"/>
            <w:color w:val="1360C6"/>
            <w:lang w:val="en-GB" w:eastAsia="en-US"/>
          </w:rPr>
          <w:t>https://www.phdnet.mpg.de/145345/PhDnet_Survey_Report_2019.pdf</w:t>
        </w:r>
      </w:hyperlink>
      <w:r w:rsidRPr="007615CA">
        <w:rPr>
          <w:rFonts w:ascii="Calibri" w:eastAsiaTheme="minorHAnsi" w:hAnsi="Calibri" w:cs="Calibri"/>
          <w:color w:val="2A2C2E"/>
          <w:lang w:val="en-GB" w:eastAsia="en-US"/>
        </w:rPr>
        <w:t> </w:t>
      </w:r>
    </w:p>
    <w:p w14:paraId="6FC41CB8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Metcalfe, J., Wilson, S., &amp; </w:t>
      </w: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Levecque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>, K. (2018). Exploring wellbeing and mental health and associated support services for postgraduate researchers. Cambridge: Vitae. Available on: </w:t>
      </w:r>
      <w:hyperlink r:id="rId9" w:history="1">
        <w:r w:rsidRPr="007615CA">
          <w:rPr>
            <w:rFonts w:ascii="Calibri" w:eastAsiaTheme="minorHAnsi" w:hAnsi="Calibri" w:cs="Calibri"/>
            <w:color w:val="1360C6"/>
            <w:lang w:val="en-GB" w:eastAsia="en-US"/>
          </w:rPr>
          <w:t>https://www.vitae.ac.uk/doing-research/wellbeing-and-mental-health/HEFCE-Report_Exploring-PGR-Mental-health-support/view</w:t>
        </w:r>
      </w:hyperlink>
    </w:p>
    <w:p w14:paraId="518EB1DC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Sinche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 et al., (2017). An evidence-based evaluation of transferrable skills and job satisfaction for science PhDs. </w:t>
      </w: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Plos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 One, 12(9)</w:t>
      </w:r>
    </w:p>
    <w:p w14:paraId="6A4A17DE" w14:textId="1B0B57E5" w:rsidR="007615CA" w:rsidRPr="007615CA" w:rsidRDefault="007615CA" w:rsidP="007615CA">
      <w:pPr>
        <w:spacing w:after="240"/>
        <w:rPr>
          <w:rFonts w:ascii="Calibri" w:hAnsi="Calibri" w:cs="Calibri"/>
          <w:lang w:val="en-US"/>
        </w:rPr>
      </w:pPr>
    </w:p>
    <w:p w14:paraId="1D37BDDE" w14:textId="75EEA7AA" w:rsidR="007615CA" w:rsidRPr="007615CA" w:rsidRDefault="007615CA" w:rsidP="007615CA">
      <w:pPr>
        <w:spacing w:after="240"/>
        <w:rPr>
          <w:rFonts w:ascii="Calibri" w:hAnsi="Calibri" w:cs="Calibri"/>
          <w:b/>
          <w:bCs/>
          <w:u w:val="single"/>
          <w:lang w:val="en-US"/>
        </w:rPr>
      </w:pPr>
      <w:r w:rsidRPr="007615CA">
        <w:rPr>
          <w:rFonts w:ascii="Calibri" w:hAnsi="Calibri" w:cs="Calibri"/>
          <w:b/>
          <w:bCs/>
          <w:u w:val="single"/>
          <w:lang w:val="en-US"/>
        </w:rPr>
        <w:t>Literature on Authentic Leadership</w:t>
      </w:r>
    </w:p>
    <w:p w14:paraId="37827C69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Avolio, B. J., &amp; Gardner, W. L. (2005).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Authentic leadership development: Getting to the root of positive forms of leadership. Leadership Quarterly, 16, pp. 315-338. </w:t>
      </w:r>
    </w:p>
    <w:p w14:paraId="23EB9D0A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 xml:space="preserve">Avolio, B. J., </w:t>
      </w:r>
      <w:proofErr w:type="spellStart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Wernsing</w:t>
      </w:r>
      <w:proofErr w:type="spellEnd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, T., &amp; Gardner, W. L. (2018).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Revisiting the development and validation of the authentic leadership questionnaire: analytical clarifications. J. Manage. 44, 399–411. </w:t>
      </w:r>
      <w:proofErr w:type="spellStart"/>
      <w:r w:rsidRPr="007615CA">
        <w:rPr>
          <w:rFonts w:ascii="Calibri" w:eastAsiaTheme="minorHAnsi" w:hAnsi="Calibri" w:cs="Calibri"/>
          <w:color w:val="2A2C2E"/>
          <w:lang w:val="en-GB" w:eastAsia="en-US"/>
        </w:rPr>
        <w:t>doi</w:t>
      </w:r>
      <w:proofErr w:type="spellEnd"/>
      <w:r w:rsidRPr="007615CA">
        <w:rPr>
          <w:rFonts w:ascii="Calibri" w:eastAsiaTheme="minorHAnsi" w:hAnsi="Calibri" w:cs="Calibri"/>
          <w:color w:val="2A2C2E"/>
          <w:lang w:val="en-GB" w:eastAsia="en-US"/>
        </w:rPr>
        <w:t>: 10.1177/0149206317739960 </w:t>
      </w:r>
    </w:p>
    <w:p w14:paraId="20F45AC2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 xml:space="preserve">Bracht, E.M., </w:t>
      </w:r>
      <w:proofErr w:type="spellStart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Keng-Highberger</w:t>
      </w:r>
      <w:proofErr w:type="spellEnd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, F.T., Avolio, B.J. and Huang, Y., (2021).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Take a “Selfie”: Examining How Leaders Emerge </w:t>
      </w:r>
      <w:proofErr w:type="gramStart"/>
      <w:r w:rsidRPr="007615CA">
        <w:rPr>
          <w:rFonts w:ascii="Calibri" w:eastAsiaTheme="minorHAnsi" w:hAnsi="Calibri" w:cs="Calibri"/>
          <w:color w:val="2A2C2E"/>
          <w:lang w:val="en-GB" w:eastAsia="en-US"/>
        </w:rPr>
        <w:t>From</w:t>
      </w:r>
      <w:proofErr w:type="gramEnd"/>
      <w:r w:rsidRPr="007615CA">
        <w:rPr>
          <w:rFonts w:ascii="Calibri" w:eastAsiaTheme="minorHAnsi" w:hAnsi="Calibri" w:cs="Calibri"/>
          <w:color w:val="2A2C2E"/>
          <w:lang w:val="en-GB" w:eastAsia="en-US"/>
        </w:rPr>
        <w:t xml:space="preserve"> Leader Self-Awareness, Self-Leadership, and Self-Efficacy. Frontiers in Psychology, 12, p.653. https://doi.org/10.3389/fpsyg.2021.635085 </w:t>
      </w:r>
    </w:p>
    <w:p w14:paraId="594A7AF3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Gardner, W.L., Avolio, B.J, Luthans, F., May, D.R. &amp; Walumbwa, F.O. (2005).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Can you see the real me? A self-based model of authentic leader and follower development. The Leadership Quarterly, 16, pp. 343-372.</w:t>
      </w:r>
    </w:p>
    <w:p w14:paraId="195B9824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 xml:space="preserve">Gardner, W. L., Karam, E. P., Alvesson, M., &amp; </w:t>
      </w:r>
      <w:proofErr w:type="spellStart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Einola</w:t>
      </w:r>
      <w:proofErr w:type="spellEnd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, K. (2021).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 Authentic leadership theory: The case for and against. The Leadership Quarterly, 101495. </w:t>
      </w:r>
    </w:p>
    <w:p w14:paraId="69E86B14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 xml:space="preserve">Gardner, W.L., </w:t>
      </w:r>
      <w:proofErr w:type="spellStart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Cogliser</w:t>
      </w:r>
      <w:proofErr w:type="spellEnd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, C.C., Davis, K.M. and Dickens, M.P., (2011).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 Authentic leadership: A review of the literature and research agenda. The leadership quarterly, 22(6), pp.1120-1145. https://doi.org/10.1016/j.leaqua.2011.09.007</w:t>
      </w:r>
    </w:p>
    <w:p w14:paraId="467A2AC5" w14:textId="57C799C3" w:rsidR="00A104B4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lastRenderedPageBreak/>
        <w:t>George, B., Sims, P., McLean, A.N. and Mayer, D., 2007.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Discovering your authentic leadership. Harvard business review, 85(2), p.129. https://www.simplylifeindia.com/uploads/8/1/1/5/8115412/discovering_your_auth entic_leadership.pdf </w:t>
      </w:r>
    </w:p>
    <w:p w14:paraId="5E050FA9" w14:textId="77777777" w:rsidR="007615CA" w:rsidRPr="007615CA" w:rsidRDefault="007615CA" w:rsidP="007615CA">
      <w:pPr>
        <w:autoSpaceDE w:val="0"/>
        <w:autoSpaceDN w:val="0"/>
        <w:adjustRightInd w:val="0"/>
        <w:spacing w:after="300"/>
        <w:rPr>
          <w:rFonts w:ascii="Calibri" w:eastAsiaTheme="minorHAnsi" w:hAnsi="Calibri" w:cs="Calibri"/>
          <w:color w:val="2A2C2E"/>
          <w:lang w:val="en-GB" w:eastAsia="en-US"/>
        </w:rPr>
      </w:pPr>
      <w:proofErr w:type="spellStart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Sparrowe</w:t>
      </w:r>
      <w:proofErr w:type="spellEnd"/>
      <w:r w:rsidRPr="007615CA">
        <w:rPr>
          <w:rFonts w:ascii="Calibri" w:eastAsiaTheme="minorHAnsi" w:hAnsi="Calibri" w:cs="Calibri"/>
          <w:b/>
          <w:bCs/>
          <w:color w:val="2A2C2E"/>
          <w:lang w:val="en-GB" w:eastAsia="en-US"/>
        </w:rPr>
        <w:t>, R. T. (2005). </w:t>
      </w:r>
      <w:r w:rsidRPr="007615CA">
        <w:rPr>
          <w:rFonts w:ascii="Calibri" w:eastAsiaTheme="minorHAnsi" w:hAnsi="Calibri" w:cs="Calibri"/>
          <w:color w:val="2A2C2E"/>
          <w:lang w:val="en-GB" w:eastAsia="en-US"/>
        </w:rPr>
        <w:t>Authentic leadership and the narrative self. The leadership quarterly, 16(3), 419-439. https://doi.org/10.1016/j.leaq</w:t>
      </w:r>
    </w:p>
    <w:p w14:paraId="2296613A" w14:textId="77777777" w:rsidR="00BB6830" w:rsidRPr="00617599" w:rsidRDefault="00BB6830" w:rsidP="00BF337A"/>
    <w:sectPr w:rsidR="00BB6830" w:rsidRPr="00617599" w:rsidSect="00FB6966"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5064" w14:textId="77777777" w:rsidR="00A52239" w:rsidRDefault="00A52239" w:rsidP="006B1171">
      <w:r>
        <w:separator/>
      </w:r>
    </w:p>
  </w:endnote>
  <w:endnote w:type="continuationSeparator" w:id="0">
    <w:p w14:paraId="71226365" w14:textId="77777777" w:rsidR="00A52239" w:rsidRDefault="00A52239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FCF7" w14:textId="77777777" w:rsidR="005C15BD" w:rsidRDefault="005C15BD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4DBB4CB9" w14:textId="77777777" w:rsidR="008931BA" w:rsidRDefault="008931BA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57D5" w14:textId="77777777" w:rsidR="00BB6830" w:rsidRDefault="00BB6830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r w:rsidR="00A52239">
      <w:fldChar w:fldCharType="begin"/>
    </w:r>
    <w:r w:rsidR="00A52239">
      <w:instrText xml:space="preserve"> NUMPAGES   \* MERGEFORMAT </w:instrText>
    </w:r>
    <w:r w:rsidR="00A52239">
      <w:fldChar w:fldCharType="separate"/>
    </w:r>
    <w:r w:rsidR="00E7550F">
      <w:rPr>
        <w:noProof/>
      </w:rPr>
      <w:t>1</w:t>
    </w:r>
    <w:r w:rsidR="00A52239">
      <w:rPr>
        <w:noProof/>
      </w:rPr>
      <w:fldChar w:fldCharType="end"/>
    </w:r>
    <w:r>
      <w:t>)</w:t>
    </w:r>
  </w:p>
  <w:p w14:paraId="66D555B0" w14:textId="77777777" w:rsidR="008257E2" w:rsidRPr="005C15BD" w:rsidRDefault="008257E2" w:rsidP="005C15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9CDC" w14:textId="77777777" w:rsidR="00A52239" w:rsidRDefault="00A52239" w:rsidP="006B1171">
      <w:r>
        <w:separator/>
      </w:r>
    </w:p>
  </w:footnote>
  <w:footnote w:type="continuationSeparator" w:id="0">
    <w:p w14:paraId="5C98D5DB" w14:textId="77777777" w:rsidR="00A52239" w:rsidRDefault="00A52239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FA9B" w14:textId="77777777" w:rsidR="00B230ED" w:rsidRDefault="00B230ED" w:rsidP="00F27BF7">
    <w:pPr>
      <w:pStyle w:val="Header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CA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7615CA"/>
    <w:rsid w:val="0078347B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104B4"/>
    <w:rsid w:val="00A221BB"/>
    <w:rsid w:val="00A52239"/>
    <w:rsid w:val="00A52332"/>
    <w:rsid w:val="00A61CB2"/>
    <w:rsid w:val="00B0239C"/>
    <w:rsid w:val="00B230ED"/>
    <w:rsid w:val="00B2734A"/>
    <w:rsid w:val="00B53934"/>
    <w:rsid w:val="00BB6830"/>
    <w:rsid w:val="00BF337A"/>
    <w:rsid w:val="00C524B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7550F"/>
    <w:rsid w:val="00E76D98"/>
    <w:rsid w:val="00ED335B"/>
    <w:rsid w:val="00EF448E"/>
    <w:rsid w:val="00F27BF7"/>
    <w:rsid w:val="00F30BF9"/>
    <w:rsid w:val="00F6226E"/>
    <w:rsid w:val="00F75487"/>
    <w:rsid w:val="00FB1AAF"/>
    <w:rsid w:val="00FB6966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D4FC33"/>
  <w15:chartTrackingRefBased/>
  <w15:docId w15:val="{0D90A0ED-1EE2-4F45-8E0C-90DEBCC2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spacing w:before="480" w:after="120" w:line="260" w:lineRule="atLeast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4665"/>
    <w:pPr>
      <w:keepNext/>
      <w:keepLines/>
      <w:spacing w:before="240" w:after="160" w:line="260" w:lineRule="atLeast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4665"/>
    <w:pPr>
      <w:keepNext/>
      <w:keepLines/>
      <w:spacing w:before="240" w:after="160" w:line="260" w:lineRule="atLeast"/>
      <w:outlineLvl w:val="2"/>
    </w:pPr>
    <w:rPr>
      <w:rFonts w:asciiTheme="majorHAnsi" w:eastAsiaTheme="majorEastAsia" w:hAnsiTheme="majorHAnsi" w:cstheme="majorHAnsi"/>
      <w:b/>
      <w:color w:val="000000"/>
      <w:sz w:val="22"/>
      <w:szCs w:val="22"/>
      <w:lang w:val="sv-SE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4665"/>
    <w:pPr>
      <w:keepNext/>
      <w:keepLines/>
      <w:spacing w:before="240" w:after="160" w:line="260" w:lineRule="atLeast"/>
      <w:outlineLvl w:val="3"/>
    </w:pPr>
    <w:rPr>
      <w:rFonts w:asciiTheme="majorHAnsi" w:eastAsiaTheme="majorEastAsia" w:hAnsiTheme="majorHAnsi" w:cstheme="majorHAnsi"/>
      <w:i/>
      <w:iCs/>
      <w:color w:val="000000"/>
      <w:sz w:val="22"/>
      <w:szCs w:val="22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szCs w:val="22"/>
      <w:lang w:val="sv-S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5"/>
    </w:pPr>
    <w:rPr>
      <w:rFonts w:asciiTheme="majorHAnsi" w:eastAsiaTheme="majorEastAsia" w:hAnsiTheme="majorHAnsi" w:cstheme="majorBidi"/>
      <w:color w:val="000000"/>
      <w:sz w:val="22"/>
      <w:szCs w:val="22"/>
      <w:lang w:val="sv-S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val="sv-S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5B"/>
    <w:pPr>
      <w:tabs>
        <w:tab w:val="left" w:pos="6804"/>
      </w:tabs>
      <w:ind w:right="-1332"/>
    </w:pPr>
    <w:rPr>
      <w:rFonts w:asciiTheme="minorHAnsi" w:eastAsiaTheme="minorHAnsi" w:hAnsiTheme="minorHAnsi" w:cstheme="minorHAnsi"/>
      <w:color w:val="000000"/>
      <w:sz w:val="22"/>
      <w:szCs w:val="22"/>
      <w:lang w:val="sv-S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335B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35B"/>
    <w:pPr>
      <w:tabs>
        <w:tab w:val="center" w:pos="4513"/>
        <w:tab w:val="right" w:pos="9026"/>
      </w:tabs>
      <w:spacing w:line="180" w:lineRule="atLeast"/>
    </w:pPr>
    <w:rPr>
      <w:rFonts w:asciiTheme="minorHAnsi" w:eastAsiaTheme="minorHAnsi" w:hAnsiTheme="minorHAnsi" w:cstheme="minorHAnsi"/>
      <w:color w:val="000000"/>
      <w:sz w:val="16"/>
      <w:szCs w:val="22"/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335B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/>
    </w:pPr>
    <w:rPr>
      <w:rFonts w:asciiTheme="minorHAnsi" w:eastAsiaTheme="minorHAnsi" w:hAnsiTheme="minorHAnsi" w:cstheme="minorHAnsi"/>
      <w:i/>
      <w:iCs/>
      <w:color w:val="747474" w:themeColor="text2"/>
      <w:sz w:val="18"/>
      <w:szCs w:val="18"/>
      <w:lang w:val="sv-SE"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spacing w:after="160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 w:eastAsia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  <w:spacing w:after="160" w:line="260" w:lineRule="atLeast"/>
    </w:pPr>
    <w:rPr>
      <w:rFonts w:asciiTheme="minorHAnsi" w:eastAsiaTheme="minorHAnsi" w:hAnsiTheme="minorHAnsi" w:cstheme="minorHAnsi"/>
      <w:color w:val="5A5A5A" w:themeColor="text1" w:themeTint="A5"/>
      <w:spacing w:val="15"/>
      <w:sz w:val="22"/>
      <w:szCs w:val="22"/>
      <w:lang w:val="sv-SE"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 w:after="160" w:line="260" w:lineRule="atLeast"/>
      <w:ind w:left="864" w:right="864"/>
    </w:pPr>
    <w:rPr>
      <w:rFonts w:asciiTheme="minorHAnsi" w:eastAsiaTheme="minorHAnsi" w:hAnsiTheme="minorHAnsi" w:cstheme="minorHAnsi"/>
      <w:i/>
      <w:iCs/>
      <w:color w:val="404040" w:themeColor="text1" w:themeTint="BF"/>
      <w:sz w:val="22"/>
      <w:szCs w:val="22"/>
      <w:lang w:val="sv-SE" w:eastAsia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 w:val="22"/>
      <w:szCs w:val="22"/>
      <w:lang w:val="sv-S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spacing w:after="160"/>
    </w:pPr>
    <w:rPr>
      <w:rFonts w:ascii="Segoe UI" w:eastAsiaTheme="minorHAnsi" w:hAnsi="Segoe UI" w:cs="Segoe UI"/>
      <w:color w:val="000000"/>
      <w:sz w:val="18"/>
      <w:szCs w:val="18"/>
      <w:lang w:val="sv-S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dnet.mpg.de/145345/PhDnet_Survey_Report_20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gshare.com/s/74a5ea79d76ad66a8af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tae.ac.uk/doing-research/wellbeing-and-mental-health/HEFCE-Report_Exploring-PGR-Mental-health-support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2490</Characters>
  <Application>Microsoft Office Word</Application>
  <DocSecurity>0</DocSecurity>
  <Lines>155</Lines>
  <Paragraphs>90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Sandberg</dc:creator>
  <cp:keywords/>
  <dc:description/>
  <cp:lastModifiedBy>Susanne Sandberg</cp:lastModifiedBy>
  <cp:revision>3</cp:revision>
  <cp:lastPrinted>2017-11-13T14:10:00Z</cp:lastPrinted>
  <dcterms:created xsi:type="dcterms:W3CDTF">2022-04-20T12:27:00Z</dcterms:created>
  <dcterms:modified xsi:type="dcterms:W3CDTF">2022-04-20T12:30:00Z</dcterms:modified>
</cp:coreProperties>
</file>