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37" w:rsidRDefault="00F60C37" w:rsidP="006A4A23">
      <w:pPr>
        <w:ind w:firstLine="1304"/>
        <w:rPr>
          <w:sz w:val="24"/>
          <w:szCs w:val="24"/>
          <w:lang w:val="en-US"/>
        </w:rPr>
      </w:pPr>
      <w:bookmarkStart w:id="0" w:name="_GoBack"/>
      <w:r>
        <w:rPr>
          <w:sz w:val="24"/>
          <w:szCs w:val="24"/>
          <w:lang w:val="en-US"/>
        </w:rPr>
        <w:t>Isolation of Cyanophage from the Baltic Sea</w:t>
      </w:r>
    </w:p>
    <w:bookmarkEnd w:id="0"/>
    <w:p w:rsidR="00F60C37" w:rsidRDefault="00F60C37" w:rsidP="006A4A23">
      <w:pPr>
        <w:ind w:firstLine="1304"/>
        <w:rPr>
          <w:sz w:val="24"/>
          <w:szCs w:val="24"/>
          <w:lang w:val="en-US"/>
        </w:rPr>
      </w:pPr>
    </w:p>
    <w:p w:rsidR="00F60C37" w:rsidRDefault="00F60C37" w:rsidP="00F60C37">
      <w:pPr>
        <w:ind w:firstLine="72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158750</wp:posOffset>
            </wp:positionV>
            <wp:extent cx="2351405" cy="2749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ltique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146" w:rsidRPr="00F60C37" w:rsidRDefault="005034B8" w:rsidP="00F60C37">
      <w:pPr>
        <w:ind w:firstLine="720"/>
        <w:jc w:val="both"/>
        <w:rPr>
          <w:lang w:val="en-US"/>
        </w:rPr>
      </w:pPr>
      <w:r w:rsidRPr="00F60C37">
        <w:rPr>
          <w:lang w:val="en-US"/>
        </w:rPr>
        <w:t xml:space="preserve">The globally abundant picocyanobacterium </w:t>
      </w:r>
      <w:r w:rsidRPr="00F60C37">
        <w:rPr>
          <w:i/>
          <w:lang w:val="en-US"/>
        </w:rPr>
        <w:t>Synechococcus</w:t>
      </w:r>
      <w:r w:rsidRPr="00F60C37">
        <w:rPr>
          <w:lang w:val="en-US"/>
        </w:rPr>
        <w:t xml:space="preserve"> is a major phytoplankton in the Baltic Sea microbial ecosystem</w:t>
      </w:r>
      <w:r w:rsidR="00F60C37">
        <w:rPr>
          <w:lang w:val="en-US"/>
        </w:rPr>
        <w:t xml:space="preserve"> (Figure 1)</w:t>
      </w:r>
      <w:r w:rsidRPr="00F60C37">
        <w:rPr>
          <w:lang w:val="en-US"/>
        </w:rPr>
        <w:t xml:space="preserve">. Viruses that infect </w:t>
      </w:r>
      <w:r w:rsidRPr="00F60C37">
        <w:rPr>
          <w:i/>
          <w:lang w:val="en-US"/>
        </w:rPr>
        <w:t>Synechococcus</w:t>
      </w:r>
      <w:r w:rsidRPr="00F60C37">
        <w:rPr>
          <w:lang w:val="en-US"/>
        </w:rPr>
        <w:t xml:space="preserve">, collectively called cyanophages, have been identified as important regulators of mortality in marine environments, ultimately determining the role of </w:t>
      </w:r>
      <w:r w:rsidRPr="00F60C37">
        <w:rPr>
          <w:i/>
          <w:lang w:val="en-US"/>
        </w:rPr>
        <w:t>Synechococcus</w:t>
      </w:r>
      <w:r w:rsidRPr="00F60C37">
        <w:rPr>
          <w:lang w:val="en-US"/>
        </w:rPr>
        <w:t xml:space="preserve"> in the food web. However, the significance of </w:t>
      </w:r>
      <w:r w:rsidRPr="00F60C37">
        <w:rPr>
          <w:i/>
          <w:lang w:val="en-US"/>
        </w:rPr>
        <w:t>Synechococcus</w:t>
      </w:r>
      <w:r w:rsidRPr="00F60C37">
        <w:rPr>
          <w:lang w:val="en-US"/>
        </w:rPr>
        <w:t xml:space="preserve">-cyanophage interactions in the Baltic Sea are largely unknown.  </w:t>
      </w:r>
      <w:r w:rsidR="00651110" w:rsidRPr="00F60C37">
        <w:rPr>
          <w:lang w:val="en-US"/>
        </w:rPr>
        <w:t xml:space="preserve">Because coastal and estuarine cyanophages tend to be regionally- and host-specific, it is likely that Baltic cyanophage have co-evolved with </w:t>
      </w:r>
      <w:r w:rsidR="00D645C2" w:rsidRPr="00F60C37">
        <w:rPr>
          <w:lang w:val="en-US"/>
        </w:rPr>
        <w:t>Baltic Synechococcus, and have an evolutionary distinct relationship.</w:t>
      </w:r>
      <w:r w:rsidR="00651110" w:rsidRPr="00F60C37">
        <w:rPr>
          <w:lang w:val="en-US"/>
        </w:rPr>
        <w:t xml:space="preserve"> </w:t>
      </w:r>
      <w:r w:rsidRPr="00F60C37">
        <w:rPr>
          <w:lang w:val="en-US"/>
        </w:rPr>
        <w:t>The aim of the project is to isolate novel cyanophage from the Baltic environment using recently attained isolates of Synechococcus from the Baltic Sea.</w:t>
      </w:r>
      <w:r w:rsidR="00647146" w:rsidRPr="00F60C37">
        <w:rPr>
          <w:lang w:val="en-US"/>
        </w:rPr>
        <w:t xml:space="preserve">  </w:t>
      </w:r>
      <w:r w:rsidRPr="00F60C37">
        <w:rPr>
          <w:lang w:val="en-US"/>
        </w:rPr>
        <w:t>This will give information about</w:t>
      </w:r>
      <w:r w:rsidR="00D645C2" w:rsidRPr="00F60C37">
        <w:rPr>
          <w:lang w:val="en-US"/>
        </w:rPr>
        <w:t xml:space="preserve"> </w:t>
      </w:r>
      <w:r w:rsidRPr="00F60C37">
        <w:rPr>
          <w:lang w:val="en-US"/>
        </w:rPr>
        <w:t xml:space="preserve">the </w:t>
      </w:r>
      <w:r w:rsidR="00651110" w:rsidRPr="00F60C37">
        <w:rPr>
          <w:lang w:val="en-US"/>
        </w:rPr>
        <w:t>types</w:t>
      </w:r>
      <w:r w:rsidRPr="00F60C37">
        <w:rPr>
          <w:lang w:val="en-US"/>
        </w:rPr>
        <w:t xml:space="preserve"> of cyanophage present in the Balti</w:t>
      </w:r>
      <w:r w:rsidR="003C3440" w:rsidRPr="00F60C37">
        <w:rPr>
          <w:lang w:val="en-US"/>
        </w:rPr>
        <w:t>c</w:t>
      </w:r>
      <w:r w:rsidRPr="00F60C37">
        <w:rPr>
          <w:lang w:val="en-US"/>
        </w:rPr>
        <w:t xml:space="preserve"> Sea as well as </w:t>
      </w:r>
      <w:r w:rsidR="003C3440" w:rsidRPr="00F60C37">
        <w:rPr>
          <w:lang w:val="en-US"/>
        </w:rPr>
        <w:t>the host specificity of the isolated strain(s).</w:t>
      </w:r>
      <w:r w:rsidR="00D645C2" w:rsidRPr="00F60C37">
        <w:rPr>
          <w:lang w:val="en-US"/>
        </w:rPr>
        <w:t xml:space="preserve"> </w:t>
      </w:r>
      <w:r w:rsidR="003C3440" w:rsidRPr="00F60C37">
        <w:rPr>
          <w:lang w:val="en-US"/>
        </w:rPr>
        <w:t xml:space="preserve">The </w:t>
      </w:r>
      <w:r w:rsidR="00647146" w:rsidRPr="00F60C37">
        <w:rPr>
          <w:lang w:val="en-US"/>
        </w:rPr>
        <w:t>results of this project will provide a foundation for research that</w:t>
      </w:r>
      <w:r w:rsidR="00651110" w:rsidRPr="00F60C37">
        <w:rPr>
          <w:lang w:val="en-US"/>
        </w:rPr>
        <w:t xml:space="preserve"> characterizes Baltic cyanophage and Synechococcus-cyanophage</w:t>
      </w:r>
      <w:r w:rsidR="00647146" w:rsidRPr="00F60C37">
        <w:rPr>
          <w:lang w:val="en-US"/>
        </w:rPr>
        <w:t xml:space="preserve"> </w:t>
      </w:r>
      <w:r w:rsidR="00651110" w:rsidRPr="00F60C37">
        <w:rPr>
          <w:lang w:val="en-US"/>
        </w:rPr>
        <w:t>interactions,</w:t>
      </w:r>
      <w:r w:rsidR="00647146" w:rsidRPr="00F60C37">
        <w:rPr>
          <w:lang w:val="en-US"/>
        </w:rPr>
        <w:t xml:space="preserve"> and </w:t>
      </w:r>
      <w:r w:rsidR="00651110" w:rsidRPr="00F60C37">
        <w:rPr>
          <w:lang w:val="en-US"/>
        </w:rPr>
        <w:t xml:space="preserve">provide cyanophage isolates to be </w:t>
      </w:r>
      <w:r w:rsidR="00647146" w:rsidRPr="00F60C37">
        <w:rPr>
          <w:lang w:val="en-US"/>
        </w:rPr>
        <w:t>used as model system for laboratory studies of Synechococcus-cyanophage infection dynamics.</w:t>
      </w:r>
    </w:p>
    <w:p w:rsidR="003C3440" w:rsidRDefault="003C3440" w:rsidP="00F60C37">
      <w:pPr>
        <w:jc w:val="both"/>
        <w:rPr>
          <w:sz w:val="24"/>
          <w:szCs w:val="24"/>
          <w:lang w:val="en-US"/>
        </w:rPr>
      </w:pPr>
    </w:p>
    <w:p w:rsidR="003C3440" w:rsidRPr="00F60C37" w:rsidRDefault="00F60C37" w:rsidP="00F60C37">
      <w:pPr>
        <w:jc w:val="both"/>
        <w:rPr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CDACA68">
            <wp:simplePos x="0" y="0"/>
            <wp:positionH relativeFrom="column">
              <wp:posOffset>19050</wp:posOffset>
            </wp:positionH>
            <wp:positionV relativeFrom="paragraph">
              <wp:posOffset>138430</wp:posOffset>
            </wp:positionV>
            <wp:extent cx="2698115" cy="1695450"/>
            <wp:effectExtent l="0" t="0" r="6985" b="0"/>
            <wp:wrapTight wrapText="bothSides">
              <wp:wrapPolygon edited="0">
                <wp:start x="0" y="0"/>
                <wp:lineTo x="0" y="21357"/>
                <wp:lineTo x="21503" y="21357"/>
                <wp:lineTo x="21503" y="0"/>
                <wp:lineTo x="0" y="0"/>
              </wp:wrapPolygon>
            </wp:wrapTight>
            <wp:docPr id="1" name="Picture 1" descr="Rplo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lot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440" w:rsidRPr="00F60C37">
        <w:rPr>
          <w:lang w:val="en-US"/>
        </w:rPr>
        <w:t>Methods be used</w:t>
      </w:r>
    </w:p>
    <w:p w:rsidR="003C3440" w:rsidRPr="00F60C37" w:rsidRDefault="003C3440" w:rsidP="00F60C37">
      <w:pPr>
        <w:jc w:val="both"/>
        <w:rPr>
          <w:lang w:val="en-US"/>
        </w:rPr>
      </w:pPr>
      <w:r w:rsidRPr="00F60C37">
        <w:rPr>
          <w:lang w:val="en-US"/>
        </w:rPr>
        <w:t>Viral fraction seawater concentrations for Synechococcus culture incubations</w:t>
      </w:r>
    </w:p>
    <w:p w:rsidR="003C3440" w:rsidRPr="00F60C37" w:rsidRDefault="003C3440" w:rsidP="00F60C37">
      <w:pPr>
        <w:jc w:val="both"/>
        <w:rPr>
          <w:lang w:val="en-US"/>
        </w:rPr>
      </w:pPr>
      <w:r w:rsidRPr="00F60C37">
        <w:rPr>
          <w:lang w:val="en-US"/>
        </w:rPr>
        <w:t>Top agar overlay to pick individual viral strains</w:t>
      </w:r>
    </w:p>
    <w:p w:rsidR="003C3440" w:rsidRPr="00F60C37" w:rsidRDefault="003C3440" w:rsidP="00F60C37">
      <w:pPr>
        <w:jc w:val="both"/>
        <w:rPr>
          <w:lang w:val="en-US"/>
        </w:rPr>
      </w:pPr>
      <w:r w:rsidRPr="00F60C37">
        <w:rPr>
          <w:lang w:val="en-US"/>
        </w:rPr>
        <w:t>Viral incubations with multiple Synechococcus strains to determine host specificity</w:t>
      </w:r>
    </w:p>
    <w:p w:rsidR="003C3440" w:rsidRPr="00F60C37" w:rsidRDefault="003C3440" w:rsidP="00F60C37">
      <w:pPr>
        <w:jc w:val="both"/>
        <w:rPr>
          <w:lang w:val="en-US"/>
        </w:rPr>
      </w:pPr>
      <w:r w:rsidRPr="00F60C37">
        <w:rPr>
          <w:lang w:val="en-US"/>
        </w:rPr>
        <w:t>Viral identification using PCR gene amplification or Transmission Electron Microscopy</w:t>
      </w:r>
    </w:p>
    <w:p w:rsidR="006A4A23" w:rsidRDefault="00F60C37" w:rsidP="00F60C37">
      <w:pPr>
        <w:jc w:val="both"/>
        <w:rPr>
          <w:sz w:val="24"/>
          <w:szCs w:val="24"/>
          <w:lang w:val="en-US"/>
        </w:rPr>
      </w:pPr>
      <w:r w:rsidRPr="007F4F82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6E528B" wp14:editId="5A617137">
                <wp:simplePos x="0" y="0"/>
                <wp:positionH relativeFrom="margin">
                  <wp:posOffset>-69850</wp:posOffset>
                </wp:positionH>
                <wp:positionV relativeFrom="paragraph">
                  <wp:posOffset>114300</wp:posOffset>
                </wp:positionV>
                <wp:extent cx="3373755" cy="1435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79" w:rsidRPr="007262A4" w:rsidRDefault="00F60C37" w:rsidP="00EC567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Figure 1</w:t>
                            </w:r>
                            <w:r w:rsidR="00EC5679" w:rsidRPr="007262A4">
                              <w:rPr>
                                <w:lang w:val="en-US"/>
                              </w:rPr>
                              <w:t xml:space="preserve">.  </w:t>
                            </w:r>
                            <w:r w:rsidR="00EC5679" w:rsidRPr="00D63B35">
                              <w:rPr>
                                <w:i/>
                                <w:lang w:val="en-US"/>
                              </w:rPr>
                              <w:t>Synechococcus</w:t>
                            </w:r>
                            <w:r w:rsidR="00EC5679" w:rsidRPr="007262A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C5679">
                              <w:rPr>
                                <w:lang w:val="en-US"/>
                              </w:rPr>
                              <w:t xml:space="preserve">are observed year round at the LMO sampling station during the 2018 growth season. Differing ecotypes of </w:t>
                            </w:r>
                            <w:r w:rsidR="00EC5679" w:rsidRPr="009E43E4">
                              <w:rPr>
                                <w:i/>
                                <w:lang w:val="en-US"/>
                              </w:rPr>
                              <w:t>Synechococcus</w:t>
                            </w:r>
                            <w:r w:rsidR="00EC5679">
                              <w:rPr>
                                <w:lang w:val="en-US"/>
                              </w:rPr>
                              <w:t xml:space="preserve"> have separate growth dynamics throughout the year and may similarly experience separate viral infection dynamics. Observed here are </w:t>
                            </w:r>
                            <w:proofErr w:type="spellStart"/>
                            <w:r w:rsidR="00EC5679">
                              <w:rPr>
                                <w:lang w:val="en-US"/>
                              </w:rPr>
                              <w:t>phycoerythrin</w:t>
                            </w:r>
                            <w:proofErr w:type="spellEnd"/>
                            <w:r w:rsidR="00EC5679">
                              <w:rPr>
                                <w:lang w:val="en-US"/>
                              </w:rPr>
                              <w:t xml:space="preserve"> (PE) and </w:t>
                            </w:r>
                            <w:proofErr w:type="spellStart"/>
                            <w:r w:rsidR="00EC5679">
                              <w:rPr>
                                <w:lang w:val="en-US"/>
                              </w:rPr>
                              <w:t>phycocyanin</w:t>
                            </w:r>
                            <w:proofErr w:type="spellEnd"/>
                            <w:r w:rsidR="00EC5679">
                              <w:rPr>
                                <w:lang w:val="en-US"/>
                              </w:rPr>
                              <w:t xml:space="preserve"> (PC)-rich </w:t>
                            </w:r>
                            <w:r w:rsidR="00EC5679" w:rsidRPr="009E43E4">
                              <w:rPr>
                                <w:i/>
                                <w:lang w:val="en-US"/>
                              </w:rPr>
                              <w:t>Synechococcus</w:t>
                            </w:r>
                            <w:r w:rsidR="00EC5679">
                              <w:rPr>
                                <w:lang w:val="en-US"/>
                              </w:rPr>
                              <w:t xml:space="preserve"> ecotypes, with ecological niches defined by their light absorption characteristics.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E52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9pt;width:265.65pt;height:1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" stroked="f">
                <v:textbox>
                  <w:txbxContent>
                    <w:p w:rsidR="00EC5679" w:rsidRPr="007262A4" w:rsidRDefault="00F60C37" w:rsidP="00EC5679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Figure 1</w:t>
                      </w:r>
                      <w:r w:rsidR="00EC5679" w:rsidRPr="007262A4">
                        <w:rPr>
                          <w:lang w:val="en-US"/>
                        </w:rPr>
                        <w:t xml:space="preserve">.  </w:t>
                      </w:r>
                      <w:r w:rsidR="00EC5679" w:rsidRPr="00D63B35">
                        <w:rPr>
                          <w:i/>
                          <w:lang w:val="en-US"/>
                        </w:rPr>
                        <w:t>Synechococcus</w:t>
                      </w:r>
                      <w:r w:rsidR="00EC5679" w:rsidRPr="007262A4">
                        <w:rPr>
                          <w:lang w:val="en-US"/>
                        </w:rPr>
                        <w:t xml:space="preserve"> </w:t>
                      </w:r>
                      <w:r w:rsidR="00EC5679">
                        <w:rPr>
                          <w:lang w:val="en-US"/>
                        </w:rPr>
                        <w:t xml:space="preserve">are observed year round at the LMO sampling station during the 2018 growth season. Differing ecotypes of </w:t>
                      </w:r>
                      <w:r w:rsidR="00EC5679" w:rsidRPr="009E43E4">
                        <w:rPr>
                          <w:i/>
                          <w:lang w:val="en-US"/>
                        </w:rPr>
                        <w:t>Synechococcus</w:t>
                      </w:r>
                      <w:r w:rsidR="00EC5679">
                        <w:rPr>
                          <w:lang w:val="en-US"/>
                        </w:rPr>
                        <w:t xml:space="preserve"> have separate growth dynamics throughout the year and may similarly experience separate viral infection dynamics. Observed here are </w:t>
                      </w:r>
                      <w:proofErr w:type="spellStart"/>
                      <w:r w:rsidR="00EC5679">
                        <w:rPr>
                          <w:lang w:val="en-US"/>
                        </w:rPr>
                        <w:t>phycoerythrin</w:t>
                      </w:r>
                      <w:proofErr w:type="spellEnd"/>
                      <w:r w:rsidR="00EC5679">
                        <w:rPr>
                          <w:lang w:val="en-US"/>
                        </w:rPr>
                        <w:t xml:space="preserve"> (PE) and </w:t>
                      </w:r>
                      <w:proofErr w:type="spellStart"/>
                      <w:r w:rsidR="00EC5679">
                        <w:rPr>
                          <w:lang w:val="en-US"/>
                        </w:rPr>
                        <w:t>phycocyanin</w:t>
                      </w:r>
                      <w:proofErr w:type="spellEnd"/>
                      <w:r w:rsidR="00EC5679">
                        <w:rPr>
                          <w:lang w:val="en-US"/>
                        </w:rPr>
                        <w:t xml:space="preserve"> (PC)-rich </w:t>
                      </w:r>
                      <w:r w:rsidR="00EC5679" w:rsidRPr="009E43E4">
                        <w:rPr>
                          <w:i/>
                          <w:lang w:val="en-US"/>
                        </w:rPr>
                        <w:t>Synechococcus</w:t>
                      </w:r>
                      <w:r w:rsidR="00EC5679">
                        <w:rPr>
                          <w:lang w:val="en-US"/>
                        </w:rPr>
                        <w:t xml:space="preserve"> ecotypes, with ecological niches defined by their light absorption characteristics.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60C37" w:rsidRDefault="00F60C37" w:rsidP="00B60AC7">
      <w:pPr>
        <w:rPr>
          <w:sz w:val="24"/>
          <w:szCs w:val="24"/>
          <w:lang w:val="en-US"/>
        </w:rPr>
      </w:pPr>
    </w:p>
    <w:p w:rsidR="00F60C37" w:rsidRDefault="00F60C37" w:rsidP="00B60AC7">
      <w:pPr>
        <w:rPr>
          <w:sz w:val="24"/>
          <w:szCs w:val="24"/>
          <w:lang w:val="en-US"/>
        </w:rPr>
      </w:pPr>
    </w:p>
    <w:p w:rsidR="00F60C37" w:rsidRDefault="00F60C37" w:rsidP="00B60AC7">
      <w:pPr>
        <w:rPr>
          <w:sz w:val="24"/>
          <w:szCs w:val="24"/>
          <w:lang w:val="en-US"/>
        </w:rPr>
      </w:pPr>
    </w:p>
    <w:p w:rsidR="00F60C37" w:rsidRDefault="00F60C37" w:rsidP="00B60AC7">
      <w:pPr>
        <w:rPr>
          <w:sz w:val="24"/>
          <w:szCs w:val="24"/>
          <w:lang w:val="en-US"/>
        </w:rPr>
      </w:pPr>
    </w:p>
    <w:p w:rsidR="00F60C37" w:rsidRDefault="00F60C37" w:rsidP="00B60AC7">
      <w:pPr>
        <w:rPr>
          <w:sz w:val="24"/>
          <w:szCs w:val="24"/>
          <w:lang w:val="en-US"/>
        </w:rPr>
      </w:pPr>
    </w:p>
    <w:p w:rsidR="00F60C37" w:rsidRDefault="00F60C37" w:rsidP="00B60AC7">
      <w:pPr>
        <w:rPr>
          <w:sz w:val="24"/>
          <w:szCs w:val="24"/>
          <w:lang w:val="en-US"/>
        </w:rPr>
      </w:pPr>
    </w:p>
    <w:p w:rsidR="006A4A23" w:rsidRDefault="006A4A23" w:rsidP="00B60AC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Supervisors: Hanna Farnelid and Christien Laber</w:t>
      </w:r>
    </w:p>
    <w:p w:rsidR="00E22A69" w:rsidRPr="005034B8" w:rsidRDefault="00E22A69" w:rsidP="00B60AC7">
      <w:pPr>
        <w:rPr>
          <w:lang w:val="en-US"/>
        </w:rPr>
      </w:pPr>
      <w:r>
        <w:rPr>
          <w:sz w:val="24"/>
          <w:szCs w:val="24"/>
          <w:lang w:val="en-US"/>
        </w:rPr>
        <w:t>hanna.farnelid@lnu.se        christien.laber@lnu.se</w:t>
      </w:r>
    </w:p>
    <w:sectPr w:rsidR="00E22A69" w:rsidRPr="005034B8" w:rsidSect="00F60C37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09" w:rsidRDefault="00144609" w:rsidP="006B1171">
      <w:pPr>
        <w:spacing w:line="240" w:lineRule="auto"/>
      </w:pPr>
      <w:r>
        <w:separator/>
      </w:r>
    </w:p>
  </w:endnote>
  <w:endnote w:type="continuationSeparator" w:id="0">
    <w:p w:rsidR="00144609" w:rsidRDefault="00144609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C37">
      <w:rPr>
        <w:noProof/>
      </w:rPr>
      <w:t>2</w:t>
    </w:r>
    <w:r>
      <w:fldChar w:fldCharType="end"/>
    </w:r>
    <w:r>
      <w:t xml:space="preserve"> (</w:t>
    </w:r>
    <w:r w:rsidR="00144609">
      <w:fldChar w:fldCharType="begin"/>
    </w:r>
    <w:r w:rsidR="00144609">
      <w:instrText xml:space="preserve"> NUMPAGES   \* MERGEFORMAT </w:instrText>
    </w:r>
    <w:r w:rsidR="00144609">
      <w:fldChar w:fldCharType="separate"/>
    </w:r>
    <w:r w:rsidR="00F60C37">
      <w:rPr>
        <w:noProof/>
      </w:rPr>
      <w:t>2</w:t>
    </w:r>
    <w:r w:rsidR="00144609">
      <w:rPr>
        <w:noProof/>
      </w:rPr>
      <w:fldChar w:fldCharType="end"/>
    </w:r>
    <w:r>
      <w:t>)</w:t>
    </w:r>
  </w:p>
  <w:p w:rsidR="008931BA" w:rsidRDefault="008931BA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5A33">
      <w:rPr>
        <w:noProof/>
      </w:rPr>
      <w:t>1</w:t>
    </w:r>
    <w:r>
      <w:fldChar w:fldCharType="end"/>
    </w:r>
    <w:r>
      <w:t xml:space="preserve"> (</w:t>
    </w:r>
    <w:r w:rsidR="00144609">
      <w:fldChar w:fldCharType="begin"/>
    </w:r>
    <w:r w:rsidR="00144609">
      <w:instrText xml:space="preserve"> NUMPAGES   \* MERGEFORMAT </w:instrText>
    </w:r>
    <w:r w:rsidR="00144609">
      <w:fldChar w:fldCharType="separate"/>
    </w:r>
    <w:r w:rsidR="00635A33">
      <w:rPr>
        <w:noProof/>
      </w:rPr>
      <w:t>1</w:t>
    </w:r>
    <w:r w:rsidR="00144609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09" w:rsidRDefault="00144609" w:rsidP="006B1171">
      <w:pPr>
        <w:spacing w:line="240" w:lineRule="auto"/>
      </w:pPr>
      <w:r>
        <w:separator/>
      </w:r>
    </w:p>
  </w:footnote>
  <w:footnote w:type="continuationSeparator" w:id="0">
    <w:p w:rsidR="00144609" w:rsidRDefault="00144609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B230ED" w:rsidP="00F27BF7">
    <w:pPr>
      <w:pStyle w:val="Header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183"/>
    <w:multiLevelType w:val="hybridMultilevel"/>
    <w:tmpl w:val="C12C2A06"/>
    <w:lvl w:ilvl="0" w:tplc="AF30716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8"/>
    <w:rsid w:val="000210EC"/>
    <w:rsid w:val="00024CB9"/>
    <w:rsid w:val="00036E97"/>
    <w:rsid w:val="00067950"/>
    <w:rsid w:val="00081916"/>
    <w:rsid w:val="000D3DBB"/>
    <w:rsid w:val="001305DC"/>
    <w:rsid w:val="001409EB"/>
    <w:rsid w:val="00144609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C3440"/>
    <w:rsid w:val="003C6D78"/>
    <w:rsid w:val="003E6C56"/>
    <w:rsid w:val="0042207C"/>
    <w:rsid w:val="004610B7"/>
    <w:rsid w:val="00492A6E"/>
    <w:rsid w:val="004A3F6B"/>
    <w:rsid w:val="005034B8"/>
    <w:rsid w:val="005102EF"/>
    <w:rsid w:val="00520180"/>
    <w:rsid w:val="00540FB9"/>
    <w:rsid w:val="0057646F"/>
    <w:rsid w:val="00597261"/>
    <w:rsid w:val="005B0F94"/>
    <w:rsid w:val="005C15BD"/>
    <w:rsid w:val="005F43EE"/>
    <w:rsid w:val="00617599"/>
    <w:rsid w:val="00635A33"/>
    <w:rsid w:val="00641B68"/>
    <w:rsid w:val="00647146"/>
    <w:rsid w:val="00650F57"/>
    <w:rsid w:val="00651110"/>
    <w:rsid w:val="00653AC9"/>
    <w:rsid w:val="006A4A23"/>
    <w:rsid w:val="006B1171"/>
    <w:rsid w:val="00774C3B"/>
    <w:rsid w:val="0078347B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3934"/>
    <w:rsid w:val="00B60AC7"/>
    <w:rsid w:val="00BB6830"/>
    <w:rsid w:val="00BC1837"/>
    <w:rsid w:val="00BF337A"/>
    <w:rsid w:val="00C524B9"/>
    <w:rsid w:val="00C81A8F"/>
    <w:rsid w:val="00CE5D96"/>
    <w:rsid w:val="00D24665"/>
    <w:rsid w:val="00D24C91"/>
    <w:rsid w:val="00D51369"/>
    <w:rsid w:val="00D55BBD"/>
    <w:rsid w:val="00D62DA0"/>
    <w:rsid w:val="00D645C2"/>
    <w:rsid w:val="00D7406C"/>
    <w:rsid w:val="00E04D45"/>
    <w:rsid w:val="00E22A69"/>
    <w:rsid w:val="00E479FE"/>
    <w:rsid w:val="00E76D98"/>
    <w:rsid w:val="00EC5679"/>
    <w:rsid w:val="00ED335B"/>
    <w:rsid w:val="00EF448E"/>
    <w:rsid w:val="00F27BF7"/>
    <w:rsid w:val="00F30BF9"/>
    <w:rsid w:val="00F60C37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93DF7-B1CF-480B-9FF8-6276F0C9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HeaderChar">
    <w:name w:val="Header Char"/>
    <w:basedOn w:val="DefaultParagraphFont"/>
    <w:link w:val="Header"/>
    <w:uiPriority w:val="99"/>
    <w:rsid w:val="00ED335B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D335B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B6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E723-9737-483A-8F41-0F1CAFFA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Christien Laber</dc:creator>
  <cp:keywords/>
  <dc:description/>
  <cp:lastModifiedBy>Samuel Hylander</cp:lastModifiedBy>
  <cp:revision>2</cp:revision>
  <cp:lastPrinted>2017-11-13T14:10:00Z</cp:lastPrinted>
  <dcterms:created xsi:type="dcterms:W3CDTF">2020-12-07T09:45:00Z</dcterms:created>
  <dcterms:modified xsi:type="dcterms:W3CDTF">2020-12-07T09:45:00Z</dcterms:modified>
</cp:coreProperties>
</file>